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9895" w14:textId="77777777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E07AA6" wp14:editId="62CE2FCF">
            <wp:simplePos x="0" y="0"/>
            <wp:positionH relativeFrom="column">
              <wp:posOffset>2562860</wp:posOffset>
            </wp:positionH>
            <wp:positionV relativeFrom="paragraph">
              <wp:posOffset>-452755</wp:posOffset>
            </wp:positionV>
            <wp:extent cx="629920" cy="750570"/>
            <wp:effectExtent l="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360DF" w14:textId="77777777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</w:p>
    <w:p w14:paraId="6BC8358F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ХАНТЫ-МАНСИЙСКИЙ </w:t>
      </w:r>
    </w:p>
    <w:p w14:paraId="7ABB9406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МУНИЦИПАЛЬНЫЙ РАЙОН</w:t>
      </w:r>
    </w:p>
    <w:p w14:paraId="092AABBC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Ханты-Мансийский автономный округ – Югра</w:t>
      </w:r>
    </w:p>
    <w:p w14:paraId="450B0105" w14:textId="77777777" w:rsidR="001878AE" w:rsidRPr="001878AE" w:rsidRDefault="001878AE" w:rsidP="00E5373E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</w:p>
    <w:p w14:paraId="5232FFB9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ar-SA"/>
        </w:rPr>
      </w:pPr>
      <w:r w:rsidRPr="001878AE">
        <w:rPr>
          <w:rFonts w:eastAsia="Times New Roman" w:cs="Times New Roman"/>
          <w:b/>
          <w:caps/>
          <w:szCs w:val="28"/>
          <w:lang w:eastAsia="ar-SA"/>
        </w:rPr>
        <w:t>АДМИНИСТРАЦИЯ ХАНТЫ-МАНСИЙСКОГО РАЙОНА</w:t>
      </w:r>
    </w:p>
    <w:p w14:paraId="09892D0F" w14:textId="64B84064" w:rsidR="001878AE" w:rsidRPr="001878AE" w:rsidRDefault="00E5373E" w:rsidP="00E5373E">
      <w:pPr>
        <w:suppressAutoHyphens/>
        <w:spacing w:after="0" w:line="240" w:lineRule="auto"/>
        <w:jc w:val="right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ПРОЕКТ</w:t>
      </w:r>
    </w:p>
    <w:p w14:paraId="6E924B8C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60"/>
          <w:szCs w:val="28"/>
          <w:lang w:eastAsia="ar-SA"/>
        </w:rPr>
      </w:pPr>
      <w:r w:rsidRPr="001878AE">
        <w:rPr>
          <w:rFonts w:eastAsia="Times New Roman" w:cs="Times New Roman"/>
          <w:b/>
          <w:spacing w:val="60"/>
          <w:szCs w:val="28"/>
          <w:lang w:eastAsia="ar-SA"/>
        </w:rPr>
        <w:t>ПОСТАНОВЛЕНИЕ</w:t>
      </w:r>
    </w:p>
    <w:p w14:paraId="7D69356A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14:paraId="48331194" w14:textId="734EB560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от </w:t>
      </w:r>
      <w:r w:rsidR="00E5373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</w:t>
      </w:r>
      <w:r w:rsidR="00E5373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.202</w:t>
      </w:r>
      <w:r w:rsidR="000C733A">
        <w:rPr>
          <w:rFonts w:eastAsia="Times New Roman" w:cs="Times New Roman"/>
          <w:szCs w:val="28"/>
          <w:lang w:eastAsia="ar-SA"/>
        </w:rPr>
        <w:t>6</w:t>
      </w:r>
      <w:r w:rsidRPr="001878AE">
        <w:rPr>
          <w:rFonts w:eastAsia="Times New Roman" w:cs="Times New Roman"/>
          <w:szCs w:val="28"/>
          <w:lang w:eastAsia="ar-SA"/>
        </w:rPr>
        <w:t xml:space="preserve">  </w:t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  <w:t xml:space="preserve">                        №  </w:t>
      </w:r>
      <w:r w:rsidR="009704E0">
        <w:rPr>
          <w:rFonts w:eastAsia="Times New Roman" w:cs="Times New Roman"/>
          <w:szCs w:val="28"/>
          <w:lang w:eastAsia="ar-SA"/>
        </w:rPr>
        <w:t>___</w:t>
      </w:r>
    </w:p>
    <w:p w14:paraId="6A362E29" w14:textId="77777777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 w:rsidRPr="001878AE">
        <w:rPr>
          <w:rFonts w:eastAsia="Times New Roman" w:cs="Times New Roman"/>
          <w:i/>
          <w:sz w:val="24"/>
          <w:szCs w:val="24"/>
          <w:lang w:eastAsia="ar-SA"/>
        </w:rPr>
        <w:t>г. Ханты-Мансийск</w:t>
      </w:r>
    </w:p>
    <w:p w14:paraId="3B95BB1A" w14:textId="77777777" w:rsidR="001878AE" w:rsidRDefault="001878AE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7A37B6F9" w14:textId="77777777" w:rsidR="00A12896" w:rsidRPr="001878AE" w:rsidRDefault="00A12896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2D4C0136" w14:textId="77777777" w:rsidR="00E5373E" w:rsidRPr="00A3403F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57D73FEB" w14:textId="77777777" w:rsidR="00E5373E" w:rsidRPr="00A3403F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Администрации Ханты-Мансийского </w:t>
      </w:r>
    </w:p>
    <w:p w14:paraId="77BC0943" w14:textId="2CA8A302" w:rsidR="00E5373E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 декабря 2024 года</w:t>
      </w:r>
      <w:r w:rsidRPr="00A3403F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1181</w:t>
      </w:r>
    </w:p>
    <w:p w14:paraId="46736931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14:paraId="549744A8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14:paraId="4A31C24A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0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14:paraId="71F761E1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0"/>
    <w:p w14:paraId="3A72DC24" w14:textId="77777777" w:rsidR="00DC40C1" w:rsidRPr="00F4506E" w:rsidRDefault="00DC40C1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41E07" w14:textId="77777777" w:rsidR="003D6CD6" w:rsidRPr="00F4506E" w:rsidRDefault="003D6CD6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084BED" w14:textId="52CCE68B" w:rsidR="000E7407" w:rsidRDefault="000E7407" w:rsidP="000E7407">
      <w:pPr>
        <w:widowControl w:val="0"/>
        <w:autoSpaceDE w:val="0"/>
        <w:autoSpaceDN w:val="0"/>
        <w:spacing w:after="0" w:line="240" w:lineRule="auto"/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района, в</w:t>
      </w:r>
      <w:r w:rsidRPr="00E01DCE">
        <w:t xml:space="preserve">нести в постановление Администрации Ханты-Мансийского района от 28.12.2024 № 1181 «О муниципальной программе </w:t>
      </w:r>
      <w:r>
        <w:br/>
      </w:r>
      <w:r w:rsidRPr="00E01DCE">
        <w:t xml:space="preserve">Ханты-Мансийского района «Безопасность жизнедеятельности </w:t>
      </w:r>
      <w:r>
        <w:br/>
      </w:r>
      <w:r w:rsidRPr="00E01DCE">
        <w:t>в Ханты-Мансийском районе» (далее – постановление) следующие изменения:</w:t>
      </w:r>
    </w:p>
    <w:p w14:paraId="4E55CBEB" w14:textId="77777777" w:rsidR="000E7407" w:rsidRDefault="000E7407" w:rsidP="000E7407">
      <w:pPr>
        <w:widowControl w:val="0"/>
        <w:autoSpaceDE w:val="0"/>
        <w:autoSpaceDN w:val="0"/>
        <w:spacing w:after="0" w:line="240" w:lineRule="auto"/>
        <w:ind w:firstLine="709"/>
        <w:jc w:val="both"/>
      </w:pPr>
    </w:p>
    <w:p w14:paraId="4C7CDAD9" w14:textId="77777777" w:rsidR="000E7407" w:rsidRDefault="000E7407" w:rsidP="000E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MT" w:hAnsi="TimesNewRomanPSMT" w:cs="TimesNewRomanPSMT"/>
          <w:szCs w:val="28"/>
        </w:rPr>
      </w:pPr>
      <w:r w:rsidRPr="00E01DCE">
        <w:t>1.</w:t>
      </w:r>
      <w:r>
        <w:rPr>
          <w:b/>
        </w:rPr>
        <w:t xml:space="preserve"> </w:t>
      </w:r>
      <w:r>
        <w:rPr>
          <w:rFonts w:ascii="TimesNewRomanPSMT" w:hAnsi="TimesNewRomanPSMT" w:cs="TimesNewRomanPSMT"/>
          <w:szCs w:val="28"/>
        </w:rPr>
        <w:t>В приложении к постановлению (далее – муниципальная программа):</w:t>
      </w:r>
    </w:p>
    <w:p w14:paraId="6CE4A6EC" w14:textId="77777777" w:rsidR="000E7407" w:rsidRDefault="000E7407" w:rsidP="000E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1.1. </w:t>
      </w:r>
      <w:r w:rsidRPr="00A53AA2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1 паспорта муниципальной программы изложить </w:t>
      </w:r>
      <w:r>
        <w:rPr>
          <w:rFonts w:ascii="TimesNewRomanPSMT" w:hAnsi="TimesNewRomanPSMT" w:cs="TimesNewRomanPSMT"/>
          <w:szCs w:val="28"/>
        </w:rPr>
        <w:br/>
        <w:t>в следующей редакции:</w:t>
      </w:r>
    </w:p>
    <w:p w14:paraId="08697BF1" w14:textId="42F24113" w:rsidR="000E7407" w:rsidRPr="000E7407" w:rsidRDefault="000E7407" w:rsidP="000E7407">
      <w:pPr>
        <w:pStyle w:val="aa"/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bookmarkStart w:id="1" w:name="_Hlk217382424"/>
      <w:r>
        <w:rPr>
          <w:rFonts w:eastAsia="Times New Roman" w:cs="Times New Roman"/>
          <w:szCs w:val="28"/>
          <w:lang w:eastAsia="ru-RU"/>
        </w:rPr>
        <w:br w:type="page"/>
      </w:r>
    </w:p>
    <w:bookmarkEnd w:id="1"/>
    <w:p w14:paraId="19B2F323" w14:textId="52B88C1A" w:rsidR="00825BB0" w:rsidRPr="004B2AB0" w:rsidRDefault="00825BB0" w:rsidP="002F5C1B">
      <w:pPr>
        <w:pStyle w:val="aa"/>
        <w:tabs>
          <w:tab w:val="left" w:pos="993"/>
        </w:tabs>
        <w:spacing w:after="0" w:line="240" w:lineRule="auto"/>
        <w:ind w:left="709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BC080B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4764237F" w14:textId="77777777" w:rsidR="004713AB" w:rsidRPr="00754DEC" w:rsidRDefault="004713AB" w:rsidP="00754DEC">
      <w:pPr>
        <w:pStyle w:val="ConsPlusTitle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</w:p>
    <w:p w14:paraId="4FEF669A" w14:textId="77777777" w:rsidR="002F5C1B" w:rsidRPr="006B498E" w:rsidRDefault="002F5C1B" w:rsidP="002F5C1B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«1. </w:t>
      </w:r>
      <w:r w:rsidRP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Основные положения</w:t>
      </w:r>
    </w:p>
    <w:p w14:paraId="13F3226D" w14:textId="77777777" w:rsidR="009C1342" w:rsidRPr="00754DEC" w:rsidRDefault="009C1342" w:rsidP="00754DEC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yellow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3046BA" w:rsidRPr="00754DEC" w14:paraId="7230FAF2" w14:textId="77777777" w:rsidTr="006B498E">
        <w:tc>
          <w:tcPr>
            <w:tcW w:w="5382" w:type="dxa"/>
          </w:tcPr>
          <w:p w14:paraId="717C6671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14:paraId="4C72FBC1" w14:textId="77777777" w:rsidR="00BC080B" w:rsidRPr="00754DEC" w:rsidRDefault="0068795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 w:rsidRPr="00754DEC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754DEC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 w:rsidRPr="00754DEC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754DEC" w14:paraId="2D7B7454" w14:textId="77777777" w:rsidTr="006B498E">
        <w:tc>
          <w:tcPr>
            <w:tcW w:w="5382" w:type="dxa"/>
          </w:tcPr>
          <w:p w14:paraId="5C17FBF7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14:paraId="1F2A1BDB" w14:textId="77777777" w:rsidR="00BC080B" w:rsidRPr="00754DEC" w:rsidRDefault="003046BA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754DEC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 w:rsidRPr="00754DEC">
              <w:rPr>
                <w:sz w:val="20"/>
              </w:rPr>
              <w:t>–</w:t>
            </w:r>
            <w:r w:rsidRPr="00754DEC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754DEC" w14:paraId="5022EF2B" w14:textId="77777777" w:rsidTr="006B498E">
        <w:tc>
          <w:tcPr>
            <w:tcW w:w="5382" w:type="dxa"/>
            <w:tcBorders>
              <w:left w:val="nil"/>
              <w:right w:val="nil"/>
            </w:tcBorders>
          </w:tcPr>
          <w:p w14:paraId="742A9733" w14:textId="77777777" w:rsidR="006F1BAE" w:rsidRPr="00754DEC" w:rsidRDefault="006F1BAE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</w:tcPr>
          <w:p w14:paraId="20F773D1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754DEC" w14:paraId="5DC20FB2" w14:textId="77777777" w:rsidTr="006B498E">
        <w:tc>
          <w:tcPr>
            <w:tcW w:w="5382" w:type="dxa"/>
          </w:tcPr>
          <w:p w14:paraId="673E2115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14:paraId="55880203" w14:textId="1C856DC6" w:rsidR="00BC080B" w:rsidRPr="00754DEC" w:rsidRDefault="006F1BAE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2025 – 203</w:t>
            </w:r>
            <w:r w:rsidR="00754DEC" w:rsidRPr="00754DEC">
              <w:rPr>
                <w:rFonts w:eastAsia="Times New Roman"/>
                <w:sz w:val="20"/>
              </w:rPr>
              <w:t>1</w:t>
            </w:r>
            <w:r w:rsidRPr="00754DEC">
              <w:rPr>
                <w:rFonts w:eastAsia="Times New Roman"/>
                <w:sz w:val="20"/>
              </w:rPr>
              <w:t xml:space="preserve"> годы</w:t>
            </w:r>
          </w:p>
        </w:tc>
      </w:tr>
      <w:tr w:rsidR="00215843" w:rsidRPr="00754DEC" w14:paraId="68CDE6EA" w14:textId="77777777" w:rsidTr="006B498E">
        <w:tc>
          <w:tcPr>
            <w:tcW w:w="5382" w:type="dxa"/>
          </w:tcPr>
          <w:p w14:paraId="78E0FB00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Цел</w:t>
            </w:r>
            <w:r w:rsidR="003B57E5" w:rsidRPr="00754DEC">
              <w:rPr>
                <w:rFonts w:eastAsia="Times New Roman"/>
                <w:sz w:val="20"/>
              </w:rPr>
              <w:t>и</w:t>
            </w:r>
            <w:r w:rsidRPr="00754DEC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8647" w:type="dxa"/>
          </w:tcPr>
          <w:p w14:paraId="6A0A18F2" w14:textId="77777777" w:rsidR="003E27E4" w:rsidRPr="00754DEC" w:rsidRDefault="007A3341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754DEC">
              <w:rPr>
                <w:sz w:val="20"/>
              </w:rPr>
              <w:t>1. О</w:t>
            </w:r>
            <w:r w:rsidR="003E27E4" w:rsidRPr="00754DEC">
              <w:rPr>
                <w:sz w:val="20"/>
              </w:rPr>
              <w:t>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6B498E" w:rsidRPr="00754DEC">
              <w:rPr>
                <w:sz w:val="20"/>
              </w:rPr>
              <w:t xml:space="preserve"> чрезвычайных ситуациях, пожарах</w:t>
            </w:r>
            <w:r w:rsidR="0046011B" w:rsidRPr="00754DEC">
              <w:rPr>
                <w:sz w:val="20"/>
              </w:rPr>
              <w:t xml:space="preserve"> и </w:t>
            </w:r>
            <w:r w:rsidR="0046011B" w:rsidRPr="00754DEC">
              <w:rPr>
                <w:rFonts w:eastAsia="TimesNewRoman"/>
                <w:sz w:val="20"/>
              </w:rPr>
              <w:t>происшествиях на водных объектах</w:t>
            </w:r>
            <w:r w:rsidRPr="00754DEC">
              <w:rPr>
                <w:rFonts w:eastAsia="TimesNewRoman"/>
                <w:sz w:val="20"/>
              </w:rPr>
              <w:t>.</w:t>
            </w:r>
          </w:p>
          <w:p w14:paraId="206BF620" w14:textId="77777777" w:rsidR="007A3341" w:rsidRPr="00754DEC" w:rsidRDefault="007A3341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754DEC">
              <w:rPr>
                <w:rFonts w:eastAsia="TimesNewRoman"/>
                <w:sz w:val="20"/>
              </w:rPr>
              <w:t>2. Обеспечение безопасности населения при осуществлении деятельности по обращ</w:t>
            </w:r>
            <w:r w:rsidR="006B498E" w:rsidRPr="00754DEC">
              <w:rPr>
                <w:rFonts w:eastAsia="TimesNewRoman"/>
                <w:sz w:val="20"/>
              </w:rPr>
              <w:t>ению с животными без владельцев</w:t>
            </w:r>
          </w:p>
        </w:tc>
      </w:tr>
      <w:tr w:rsidR="00137B00" w:rsidRPr="00754DEC" w14:paraId="005111D3" w14:textId="77777777" w:rsidTr="006B498E">
        <w:tc>
          <w:tcPr>
            <w:tcW w:w="5382" w:type="dxa"/>
          </w:tcPr>
          <w:p w14:paraId="3E208F2D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</w:tcPr>
          <w:p w14:paraId="022187F8" w14:textId="77777777" w:rsidR="003B57E5" w:rsidRPr="00403ED9" w:rsidRDefault="003B57E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403ED9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 w:rsidRPr="00403ED9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403ED9"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403ED9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403ED9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 w:rsidRPr="00403ED9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403ED9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14:paraId="5B69E7AB" w14:textId="77777777" w:rsidR="00BC080B" w:rsidRPr="00403ED9" w:rsidRDefault="003B57E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403ED9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 w:rsidRPr="00403ED9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403ED9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403ED9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403ED9"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 w:rsidR="00E34C70" w:rsidRPr="00403ED9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 w:rsidRPr="00403ED9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14:paraId="08E97C45" w14:textId="77777777" w:rsidR="00137B00" w:rsidRPr="00403ED9" w:rsidRDefault="00137B00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403ED9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 w:rsidRPr="00403ED9">
              <w:rPr>
                <w:rFonts w:eastAsia="Times New Roman"/>
                <w:color w:val="000000" w:themeColor="text1"/>
                <w:sz w:val="20"/>
              </w:rPr>
              <w:t>.</w:t>
            </w:r>
            <w:r w:rsidRPr="00403ED9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403ED9">
              <w:rPr>
                <w:color w:val="000000" w:themeColor="text1"/>
                <w:sz w:val="20"/>
              </w:rPr>
              <w:t>«</w:t>
            </w:r>
            <w:r w:rsidR="00096F8B" w:rsidRPr="00403ED9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403ED9">
              <w:rPr>
                <w:sz w:val="20"/>
              </w:rPr>
              <w:t>»</w:t>
            </w:r>
          </w:p>
        </w:tc>
      </w:tr>
      <w:tr w:rsidR="00096F8B" w:rsidRPr="00754DEC" w14:paraId="7A2895EC" w14:textId="77777777" w:rsidTr="006B498E">
        <w:tc>
          <w:tcPr>
            <w:tcW w:w="5382" w:type="dxa"/>
          </w:tcPr>
          <w:p w14:paraId="41258C51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</w:tcPr>
          <w:p w14:paraId="7F23C4F0" w14:textId="42CD018B" w:rsidR="00BC080B" w:rsidRPr="00403ED9" w:rsidRDefault="00403ED9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403ED9">
              <w:rPr>
                <w:color w:val="000000"/>
                <w:sz w:val="20"/>
              </w:rPr>
              <w:t>643258,7</w:t>
            </w:r>
            <w:r w:rsidR="0080783C" w:rsidRPr="00403ED9">
              <w:rPr>
                <w:color w:val="000000"/>
                <w:sz w:val="20"/>
              </w:rPr>
              <w:t xml:space="preserve"> </w:t>
            </w:r>
            <w:r w:rsidR="00845AE1" w:rsidRPr="00403ED9">
              <w:rPr>
                <w:rFonts w:eastAsia="Times New Roman"/>
                <w:sz w:val="20"/>
              </w:rPr>
              <w:t>тыс. рублей</w:t>
            </w:r>
          </w:p>
          <w:p w14:paraId="5884CFE6" w14:textId="371D7144" w:rsidR="00754DEC" w:rsidRPr="00403ED9" w:rsidRDefault="00754DEC" w:rsidP="00754DEC">
            <w:pPr>
              <w:rPr>
                <w:color w:val="000000"/>
                <w:sz w:val="24"/>
              </w:rPr>
            </w:pPr>
          </w:p>
        </w:tc>
      </w:tr>
      <w:tr w:rsidR="0046011B" w:rsidRPr="00754DEC" w14:paraId="3F670906" w14:textId="77777777" w:rsidTr="006B498E">
        <w:tc>
          <w:tcPr>
            <w:tcW w:w="5382" w:type="dxa"/>
          </w:tcPr>
          <w:p w14:paraId="020C8A1B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754DEC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14:paraId="361ADB97" w14:textId="77777777" w:rsidR="00BC080B" w:rsidRPr="00403ED9" w:rsidRDefault="009202A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403ED9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403ED9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14:paraId="6C1B9677" w14:textId="175765A9" w:rsidR="002F5C1B" w:rsidRDefault="002F5C1B" w:rsidP="002F5C1B">
      <w:pPr>
        <w:widowControl w:val="0"/>
        <w:autoSpaceDE w:val="0"/>
        <w:autoSpaceDN w:val="0"/>
        <w:spacing w:after="0" w:line="240" w:lineRule="auto"/>
        <w:ind w:right="57" w:firstLine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».</w:t>
      </w:r>
    </w:p>
    <w:p w14:paraId="18B0E869" w14:textId="77777777" w:rsidR="002F5C1B" w:rsidRPr="008201F5" w:rsidRDefault="002F5C1B" w:rsidP="002F5C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 w:rsidRPr="00A53AA2">
        <w:rPr>
          <w:bCs/>
        </w:rPr>
        <w:t>Р</w:t>
      </w:r>
      <w:r>
        <w:rPr>
          <w:rFonts w:ascii="TimesNewRomanPSMT" w:hAnsi="TimesNewRomanPSMT" w:cs="TimesNewRomanPSMT"/>
          <w:szCs w:val="28"/>
        </w:rPr>
        <w:t>аздел 5 паспорта муниципальной программы изложить в следующей редакции:</w:t>
      </w:r>
    </w:p>
    <w:p w14:paraId="55D0D4C4" w14:textId="77777777" w:rsidR="002F5C1B" w:rsidRPr="008201F5" w:rsidRDefault="002F5C1B" w:rsidP="002F5C1B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«</w:t>
      </w:r>
      <w:r w:rsidRPr="008201F5">
        <w:rPr>
          <w:rFonts w:eastAsia="Times New Roman" w:cs="Times New Roman"/>
          <w:color w:val="000000" w:themeColor="text1"/>
          <w:szCs w:val="28"/>
        </w:rPr>
        <w:t>5.</w:t>
      </w:r>
      <w:r>
        <w:rPr>
          <w:rFonts w:eastAsia="Times New Roman" w:cs="Times New Roman"/>
          <w:color w:val="000000" w:themeColor="text1"/>
          <w:szCs w:val="28"/>
        </w:rPr>
        <w:t xml:space="preserve"> </w:t>
      </w:r>
      <w:r w:rsidRPr="008201F5">
        <w:rPr>
          <w:rFonts w:eastAsia="Times New Roman" w:cs="Times New Roman"/>
          <w:color w:val="000000" w:themeColor="text1"/>
          <w:szCs w:val="28"/>
        </w:rPr>
        <w:t>Финансовое обеспечение муниципальной программы</w:t>
      </w:r>
    </w:p>
    <w:tbl>
      <w:tblPr>
        <w:tblStyle w:val="a9"/>
        <w:tblW w:w="14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1268"/>
        <w:gridCol w:w="1266"/>
        <w:gridCol w:w="1126"/>
        <w:gridCol w:w="1126"/>
        <w:gridCol w:w="1126"/>
        <w:gridCol w:w="700"/>
        <w:gridCol w:w="966"/>
        <w:gridCol w:w="1417"/>
      </w:tblGrid>
      <w:tr w:rsidR="000A1C94" w:rsidRPr="0027017F" w14:paraId="55B79E2D" w14:textId="77777777" w:rsidTr="00552E4E">
        <w:tc>
          <w:tcPr>
            <w:tcW w:w="5175" w:type="dxa"/>
            <w:vMerge w:val="restart"/>
          </w:tcPr>
          <w:p w14:paraId="10A54D84" w14:textId="77777777" w:rsidR="000A1C94" w:rsidRPr="0027017F" w:rsidRDefault="000A1C9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995" w:type="dxa"/>
            <w:gridSpan w:val="8"/>
          </w:tcPr>
          <w:p w14:paraId="309B6D29" w14:textId="77C4F45B" w:rsidR="000A1C94" w:rsidRPr="0027017F" w:rsidRDefault="000A1C94" w:rsidP="000A1C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AE5728" w:rsidRPr="0027017F" w14:paraId="1818C1C4" w14:textId="77777777" w:rsidTr="00AE5728">
        <w:tc>
          <w:tcPr>
            <w:tcW w:w="5175" w:type="dxa"/>
            <w:vMerge/>
          </w:tcPr>
          <w:p w14:paraId="003C0DDA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268" w:type="dxa"/>
          </w:tcPr>
          <w:p w14:paraId="1AEC0E15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1266" w:type="dxa"/>
          </w:tcPr>
          <w:p w14:paraId="6CE503B5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1126" w:type="dxa"/>
          </w:tcPr>
          <w:p w14:paraId="28CC3B4E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1126" w:type="dxa"/>
          </w:tcPr>
          <w:p w14:paraId="3E0BDF40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1126" w:type="dxa"/>
          </w:tcPr>
          <w:p w14:paraId="688071C4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700" w:type="dxa"/>
          </w:tcPr>
          <w:p w14:paraId="22994C0A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966" w:type="dxa"/>
          </w:tcPr>
          <w:p w14:paraId="4B41346A" w14:textId="4C093FE3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2031</w:t>
            </w:r>
          </w:p>
        </w:tc>
        <w:tc>
          <w:tcPr>
            <w:tcW w:w="1417" w:type="dxa"/>
          </w:tcPr>
          <w:p w14:paraId="6E06DB52" w14:textId="66DD1A2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AE5728" w:rsidRPr="00754DEC" w14:paraId="471AA607" w14:textId="77777777" w:rsidTr="00AE5728">
        <w:tc>
          <w:tcPr>
            <w:tcW w:w="5175" w:type="dxa"/>
          </w:tcPr>
          <w:p w14:paraId="08CE421D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68" w:type="dxa"/>
          </w:tcPr>
          <w:p w14:paraId="6BCB1811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266" w:type="dxa"/>
          </w:tcPr>
          <w:p w14:paraId="69673398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126" w:type="dxa"/>
          </w:tcPr>
          <w:p w14:paraId="37332BF4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26" w:type="dxa"/>
          </w:tcPr>
          <w:p w14:paraId="412A1265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1126" w:type="dxa"/>
          </w:tcPr>
          <w:p w14:paraId="061095F8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700" w:type="dxa"/>
          </w:tcPr>
          <w:p w14:paraId="45560670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966" w:type="dxa"/>
          </w:tcPr>
          <w:p w14:paraId="4149E280" w14:textId="19E4CA13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417" w:type="dxa"/>
          </w:tcPr>
          <w:p w14:paraId="1041CB23" w14:textId="32874E53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9</w:t>
            </w:r>
          </w:p>
        </w:tc>
      </w:tr>
      <w:tr w:rsidR="0044234A" w:rsidRPr="00754DEC" w14:paraId="2389F3AC" w14:textId="77777777" w:rsidTr="0044234A">
        <w:tc>
          <w:tcPr>
            <w:tcW w:w="5175" w:type="dxa"/>
          </w:tcPr>
          <w:p w14:paraId="646029BE" w14:textId="77777777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68" w:type="dxa"/>
            <w:vAlign w:val="center"/>
          </w:tcPr>
          <w:p w14:paraId="582E37A3" w14:textId="3F932426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116433,5</w:t>
            </w:r>
          </w:p>
        </w:tc>
        <w:tc>
          <w:tcPr>
            <w:tcW w:w="1266" w:type="dxa"/>
            <w:vAlign w:val="center"/>
          </w:tcPr>
          <w:p w14:paraId="00194B59" w14:textId="483924BA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118405,3</w:t>
            </w:r>
          </w:p>
        </w:tc>
        <w:tc>
          <w:tcPr>
            <w:tcW w:w="1126" w:type="dxa"/>
            <w:vAlign w:val="center"/>
          </w:tcPr>
          <w:p w14:paraId="656C54B8" w14:textId="0A2572B1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80301,5</w:t>
            </w:r>
          </w:p>
        </w:tc>
        <w:tc>
          <w:tcPr>
            <w:tcW w:w="1126" w:type="dxa"/>
            <w:vAlign w:val="center"/>
          </w:tcPr>
          <w:p w14:paraId="07FB0A50" w14:textId="394B03E1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84441,3</w:t>
            </w:r>
          </w:p>
        </w:tc>
        <w:tc>
          <w:tcPr>
            <w:tcW w:w="1126" w:type="dxa"/>
            <w:vAlign w:val="center"/>
          </w:tcPr>
          <w:p w14:paraId="44C75CA7" w14:textId="047373B7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78408,3</w:t>
            </w:r>
          </w:p>
        </w:tc>
        <w:tc>
          <w:tcPr>
            <w:tcW w:w="700" w:type="dxa"/>
            <w:vAlign w:val="center"/>
          </w:tcPr>
          <w:p w14:paraId="2F3A5859" w14:textId="05EE62BD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79617,9</w:t>
            </w:r>
          </w:p>
        </w:tc>
        <w:tc>
          <w:tcPr>
            <w:tcW w:w="966" w:type="dxa"/>
          </w:tcPr>
          <w:p w14:paraId="22D7C025" w14:textId="04B500A6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85650,9</w:t>
            </w:r>
          </w:p>
        </w:tc>
        <w:tc>
          <w:tcPr>
            <w:tcW w:w="1417" w:type="dxa"/>
            <w:vAlign w:val="center"/>
          </w:tcPr>
          <w:p w14:paraId="6C5C1476" w14:textId="2B855A7B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643258,7</w:t>
            </w:r>
          </w:p>
        </w:tc>
      </w:tr>
      <w:tr w:rsidR="0044234A" w:rsidRPr="00754DEC" w14:paraId="647CF3B9" w14:textId="77777777" w:rsidTr="0044234A">
        <w:tc>
          <w:tcPr>
            <w:tcW w:w="5175" w:type="dxa"/>
          </w:tcPr>
          <w:p w14:paraId="7E55CA3F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3C3CDF01" w14:textId="299EC8D8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2483,1</w:t>
            </w:r>
          </w:p>
        </w:tc>
        <w:tc>
          <w:tcPr>
            <w:tcW w:w="1266" w:type="dxa"/>
            <w:vAlign w:val="center"/>
          </w:tcPr>
          <w:p w14:paraId="0643F69E" w14:textId="76B55C67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7858C949" w14:textId="335A464E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2EF713" w14:textId="4A30BAB3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C949A1" w14:textId="5B43815D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</w:tcPr>
          <w:p w14:paraId="221A6209" w14:textId="2BF8AE08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A3B8E45" w14:textId="25B945FA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692FA940" w14:textId="5CE3F46A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44234A">
              <w:rPr>
                <w:color w:val="000000"/>
                <w:sz w:val="20"/>
              </w:rPr>
              <w:t>13651,5</w:t>
            </w:r>
          </w:p>
        </w:tc>
      </w:tr>
      <w:tr w:rsidR="0044234A" w:rsidRPr="00754DEC" w14:paraId="0B1BBC04" w14:textId="77777777" w:rsidTr="0044234A">
        <w:tc>
          <w:tcPr>
            <w:tcW w:w="5175" w:type="dxa"/>
          </w:tcPr>
          <w:p w14:paraId="289EDEEB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1DAA79F" w14:textId="5E49DBDD" w:rsidR="0044234A" w:rsidRPr="00277A01" w:rsidRDefault="0044234A" w:rsidP="0044234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113950,4</w:t>
            </w:r>
          </w:p>
        </w:tc>
        <w:tc>
          <w:tcPr>
            <w:tcW w:w="1266" w:type="dxa"/>
            <w:vAlign w:val="bottom"/>
          </w:tcPr>
          <w:p w14:paraId="6C5D7F30" w14:textId="5A63C598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116543,9</w:t>
            </w:r>
          </w:p>
        </w:tc>
        <w:tc>
          <w:tcPr>
            <w:tcW w:w="1126" w:type="dxa"/>
            <w:vAlign w:val="bottom"/>
          </w:tcPr>
          <w:p w14:paraId="59E53B2A" w14:textId="5D767211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78440,1</w:t>
            </w:r>
          </w:p>
        </w:tc>
        <w:tc>
          <w:tcPr>
            <w:tcW w:w="1126" w:type="dxa"/>
            <w:vAlign w:val="bottom"/>
          </w:tcPr>
          <w:p w14:paraId="4A1B954C" w14:textId="1DA4DC1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82579,9</w:t>
            </w:r>
          </w:p>
        </w:tc>
        <w:tc>
          <w:tcPr>
            <w:tcW w:w="1126" w:type="dxa"/>
            <w:vAlign w:val="bottom"/>
          </w:tcPr>
          <w:p w14:paraId="1F3B52B0" w14:textId="77959C5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76546,9</w:t>
            </w:r>
          </w:p>
        </w:tc>
        <w:tc>
          <w:tcPr>
            <w:tcW w:w="700" w:type="dxa"/>
            <w:vAlign w:val="bottom"/>
          </w:tcPr>
          <w:p w14:paraId="41DFE7C1" w14:textId="0B503255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77756,5</w:t>
            </w:r>
          </w:p>
        </w:tc>
        <w:tc>
          <w:tcPr>
            <w:tcW w:w="966" w:type="dxa"/>
            <w:vAlign w:val="bottom"/>
          </w:tcPr>
          <w:p w14:paraId="528EAF68" w14:textId="1EA79D94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83789,5</w:t>
            </w:r>
          </w:p>
        </w:tc>
        <w:tc>
          <w:tcPr>
            <w:tcW w:w="1417" w:type="dxa"/>
            <w:vAlign w:val="center"/>
          </w:tcPr>
          <w:p w14:paraId="45CAAB55" w14:textId="0048D439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44234A">
              <w:rPr>
                <w:color w:val="000000"/>
                <w:sz w:val="20"/>
              </w:rPr>
              <w:t>629607,2</w:t>
            </w:r>
          </w:p>
        </w:tc>
      </w:tr>
      <w:tr w:rsidR="0044234A" w:rsidRPr="00754DEC" w14:paraId="51D8D158" w14:textId="77777777" w:rsidTr="0044234A">
        <w:tc>
          <w:tcPr>
            <w:tcW w:w="5175" w:type="dxa"/>
          </w:tcPr>
          <w:p w14:paraId="42089AA7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1.1.</w:t>
            </w:r>
            <w:r w:rsidRPr="00277A01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Комплекс процессных мероприятий «Создание и поддержание в постоянной готовности материальных ресурсов (запасов) резерва для ликвидации чрезвычайных </w:t>
            </w: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ситуаций»</w:t>
            </w: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5F21D128" w14:textId="136AFEDC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lastRenderedPageBreak/>
              <w:t>1453,7</w:t>
            </w:r>
          </w:p>
        </w:tc>
        <w:tc>
          <w:tcPr>
            <w:tcW w:w="1266" w:type="dxa"/>
            <w:vAlign w:val="center"/>
          </w:tcPr>
          <w:p w14:paraId="2F61D93A" w14:textId="3502E870" w:rsidR="0044234A" w:rsidRPr="00E70892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7089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14:paraId="57D75CE9" w14:textId="78108C36" w:rsidR="0044234A" w:rsidRPr="00E70892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7089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7C14447C" w14:textId="77777777" w:rsidR="0044234A" w:rsidRPr="00594DCD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30945431" w14:textId="77777777" w:rsidR="0044234A" w:rsidRPr="00594DCD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456E9B1D" w14:textId="77777777" w:rsidR="0044234A" w:rsidRPr="00594DCD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67A61A00" w14:textId="34E704B6" w:rsidR="0044234A" w:rsidRPr="00594DCD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3F419408" w14:textId="401F945D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44234A">
              <w:rPr>
                <w:color w:val="000000"/>
                <w:sz w:val="20"/>
              </w:rPr>
              <w:t>5911</w:t>
            </w:r>
          </w:p>
        </w:tc>
      </w:tr>
      <w:tr w:rsidR="0044234A" w:rsidRPr="00754DEC" w14:paraId="1709CC48" w14:textId="77777777" w:rsidTr="0044234A">
        <w:tc>
          <w:tcPr>
            <w:tcW w:w="5175" w:type="dxa"/>
          </w:tcPr>
          <w:p w14:paraId="05E40007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6E1C4F8" w14:textId="1E055796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1453,7</w:t>
            </w:r>
          </w:p>
        </w:tc>
        <w:tc>
          <w:tcPr>
            <w:tcW w:w="1266" w:type="dxa"/>
            <w:vAlign w:val="center"/>
          </w:tcPr>
          <w:p w14:paraId="6E4E08F3" w14:textId="524BA9BF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BB3D28">
              <w:rPr>
                <w:rFonts w:eastAsia="Times New Roman"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14:paraId="42BA4E95" w14:textId="6D57EB39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00659129" w14:textId="7F722039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537E7C01" w14:textId="55F6872F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36680F5A" w14:textId="21373641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4267A939" w14:textId="5E29311B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5121C184" w14:textId="144ABBEB" w:rsidR="0044234A" w:rsidRPr="00FC3E31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44234A">
              <w:rPr>
                <w:color w:val="000000"/>
                <w:sz w:val="20"/>
              </w:rPr>
              <w:t>5911</w:t>
            </w:r>
            <w:r w:rsidR="00FC3E31">
              <w:rPr>
                <w:color w:val="000000"/>
                <w:sz w:val="20"/>
              </w:rPr>
              <w:t>,0</w:t>
            </w:r>
          </w:p>
        </w:tc>
      </w:tr>
      <w:tr w:rsidR="0044234A" w:rsidRPr="006F3BCE" w14:paraId="35C9A5CD" w14:textId="77777777" w:rsidTr="0044234A">
        <w:tc>
          <w:tcPr>
            <w:tcW w:w="5175" w:type="dxa"/>
          </w:tcPr>
          <w:p w14:paraId="6DEEAC23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6F3BCE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1268" w:type="dxa"/>
            <w:vAlign w:val="center"/>
          </w:tcPr>
          <w:p w14:paraId="784EAD94" w14:textId="019284B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66" w:type="dxa"/>
            <w:vAlign w:val="center"/>
          </w:tcPr>
          <w:p w14:paraId="7D65F222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B070DCB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8A8FFEF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366F4FD6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6756A0AD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5FA02046" w14:textId="5A3E2B4B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015F082F" w14:textId="41628B2A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61982,7</w:t>
            </w:r>
          </w:p>
        </w:tc>
      </w:tr>
      <w:tr w:rsidR="0044234A" w:rsidRPr="00754DEC" w14:paraId="190FBC02" w14:textId="77777777" w:rsidTr="0044234A">
        <w:tc>
          <w:tcPr>
            <w:tcW w:w="5175" w:type="dxa"/>
          </w:tcPr>
          <w:p w14:paraId="13EA8231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6915324" w14:textId="085B88D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66" w:type="dxa"/>
            <w:vAlign w:val="center"/>
          </w:tcPr>
          <w:p w14:paraId="302F4E8A" w14:textId="4106F115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21E4E265" w14:textId="4AC184F1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4CE037F" w14:textId="4CD1AE8D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E6911ED" w14:textId="735EF1D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2FE1956E" w14:textId="4749CE30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172DD439" w14:textId="7577D1C3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7C2E58C0" w14:textId="147E44E3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61982,7</w:t>
            </w:r>
          </w:p>
        </w:tc>
      </w:tr>
      <w:tr w:rsidR="0044234A" w:rsidRPr="006F3BCE" w14:paraId="74835928" w14:textId="77777777" w:rsidTr="0044234A">
        <w:tc>
          <w:tcPr>
            <w:tcW w:w="5175" w:type="dxa"/>
          </w:tcPr>
          <w:p w14:paraId="0BAC4EC1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1.3. Комплекс процессных мероприятий «Организация работы по обеспечению безопасности людей на водных объектах» (всего), в том числе: </w:t>
            </w:r>
          </w:p>
        </w:tc>
        <w:tc>
          <w:tcPr>
            <w:tcW w:w="1268" w:type="dxa"/>
            <w:vAlign w:val="center"/>
          </w:tcPr>
          <w:p w14:paraId="6C55F42A" w14:textId="3E3D781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43486,1</w:t>
            </w:r>
          </w:p>
        </w:tc>
        <w:tc>
          <w:tcPr>
            <w:tcW w:w="1266" w:type="dxa"/>
            <w:vAlign w:val="center"/>
          </w:tcPr>
          <w:p w14:paraId="3884D5FC" w14:textId="27294A15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5B11FF95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5C86EB91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3F07FDDB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30A28EC7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4E0E9047" w14:textId="63580636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674C486D" w14:textId="0579A7F6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181167</w:t>
            </w:r>
            <w:r w:rsidR="007F3583">
              <w:rPr>
                <w:color w:val="000000"/>
                <w:sz w:val="20"/>
              </w:rPr>
              <w:t>,0</w:t>
            </w:r>
          </w:p>
        </w:tc>
      </w:tr>
      <w:tr w:rsidR="0044234A" w:rsidRPr="00754DEC" w14:paraId="54EA32C9" w14:textId="77777777" w:rsidTr="0044234A">
        <w:tc>
          <w:tcPr>
            <w:tcW w:w="5175" w:type="dxa"/>
          </w:tcPr>
          <w:p w14:paraId="6E005262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D656760" w14:textId="400B490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43486,1</w:t>
            </w:r>
          </w:p>
        </w:tc>
        <w:tc>
          <w:tcPr>
            <w:tcW w:w="1266" w:type="dxa"/>
            <w:vAlign w:val="center"/>
          </w:tcPr>
          <w:p w14:paraId="563B8565" w14:textId="545D4B5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44796462" w14:textId="7B91EAA1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000CE4A3" w14:textId="4D0A90D4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09ABFD50" w14:textId="51EE0AB0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26218D1A" w14:textId="54F9B281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6C86E8A7" w14:textId="0A41D9AE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702EF7ED" w14:textId="0D29E179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181167</w:t>
            </w:r>
            <w:r w:rsidR="007F3583">
              <w:rPr>
                <w:color w:val="000000"/>
                <w:sz w:val="20"/>
              </w:rPr>
              <w:t>,0</w:t>
            </w:r>
          </w:p>
        </w:tc>
      </w:tr>
      <w:tr w:rsidR="0044234A" w:rsidRPr="00754DEC" w14:paraId="2CC191E2" w14:textId="77777777" w:rsidTr="0044234A">
        <w:tc>
          <w:tcPr>
            <w:tcW w:w="5175" w:type="dxa"/>
          </w:tcPr>
          <w:p w14:paraId="37AB343E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277A01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277A01">
              <w:rPr>
                <w:sz w:val="20"/>
              </w:rPr>
              <w:t xml:space="preserve"> </w:t>
            </w:r>
            <w:r w:rsidRPr="00277A01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«Защита сельских населенных пунктов, расположенных в лесных массивах, от лесных пожаров» (всего), в том числе:</w:t>
            </w:r>
          </w:p>
        </w:tc>
        <w:tc>
          <w:tcPr>
            <w:tcW w:w="1268" w:type="dxa"/>
            <w:vAlign w:val="center"/>
          </w:tcPr>
          <w:p w14:paraId="3E000597" w14:textId="62FE31B6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1907,7</w:t>
            </w:r>
          </w:p>
        </w:tc>
        <w:tc>
          <w:tcPr>
            <w:tcW w:w="1266" w:type="dxa"/>
            <w:vAlign w:val="center"/>
          </w:tcPr>
          <w:p w14:paraId="21E34E3F" w14:textId="5CD31E30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283D78F1" w14:textId="0D16B4F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595575EA" w14:textId="4D191F6F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3E996CF9" w14:textId="49A518E2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EF65391" w14:textId="7ED9F459" w:rsidR="0044234A" w:rsidRPr="00E70892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  <w:vAlign w:val="center"/>
          </w:tcPr>
          <w:p w14:paraId="0455CFEB" w14:textId="53AEA71B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6AF0A39C" w14:textId="0B535A7C" w:rsidR="0044234A" w:rsidRPr="0044234A" w:rsidRDefault="0044234A" w:rsidP="0044234A">
            <w:pPr>
              <w:jc w:val="center"/>
              <w:rPr>
                <w:color w:val="000000"/>
                <w:sz w:val="20"/>
              </w:rPr>
            </w:pPr>
            <w:r w:rsidRPr="0044234A">
              <w:rPr>
                <w:color w:val="000000"/>
                <w:sz w:val="20"/>
              </w:rPr>
              <w:t>15805,5</w:t>
            </w:r>
          </w:p>
        </w:tc>
      </w:tr>
      <w:tr w:rsidR="0044234A" w:rsidRPr="00754DEC" w14:paraId="1EB236E9" w14:textId="77777777" w:rsidTr="0044234A">
        <w:tc>
          <w:tcPr>
            <w:tcW w:w="5175" w:type="dxa"/>
          </w:tcPr>
          <w:p w14:paraId="19064878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116F45E" w14:textId="3C836B43" w:rsidR="0044234A" w:rsidRPr="0027017F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1907,7</w:t>
            </w:r>
          </w:p>
        </w:tc>
        <w:tc>
          <w:tcPr>
            <w:tcW w:w="1266" w:type="dxa"/>
            <w:vAlign w:val="center"/>
          </w:tcPr>
          <w:p w14:paraId="08A98CA6" w14:textId="67BCC705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6B856F41" w14:textId="43F4CFE6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7909FE3B" w14:textId="08D4F9F5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0F6B13C0" w14:textId="418B1DFF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9E15909" w14:textId="7C79861A" w:rsidR="0044234A" w:rsidRPr="00E70892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</w:tcPr>
          <w:p w14:paraId="49674C4F" w14:textId="63CD1702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75216F28" w14:textId="2E0ED87B" w:rsidR="0044234A" w:rsidRPr="0044234A" w:rsidRDefault="0044234A" w:rsidP="0044234A">
            <w:pPr>
              <w:jc w:val="center"/>
              <w:rPr>
                <w:color w:val="000000"/>
                <w:sz w:val="20"/>
              </w:rPr>
            </w:pPr>
            <w:r w:rsidRPr="0044234A">
              <w:rPr>
                <w:color w:val="000000"/>
                <w:sz w:val="20"/>
              </w:rPr>
              <w:t>15805,5</w:t>
            </w:r>
          </w:p>
        </w:tc>
      </w:tr>
      <w:tr w:rsidR="0044234A" w:rsidRPr="006F3BCE" w14:paraId="2ACBB0F2" w14:textId="77777777" w:rsidTr="0044234A">
        <w:tc>
          <w:tcPr>
            <w:tcW w:w="5175" w:type="dxa"/>
          </w:tcPr>
          <w:p w14:paraId="35F15958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2.2. Комплекс процессных мероприятий  «Повышение уровня защищенности населения, социальных объектов и объектов экономики от пожаров» (всего), в том числе:</w:t>
            </w:r>
          </w:p>
        </w:tc>
        <w:tc>
          <w:tcPr>
            <w:tcW w:w="1268" w:type="dxa"/>
            <w:vAlign w:val="center"/>
          </w:tcPr>
          <w:p w14:paraId="06FD5080" w14:textId="30D9D03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6881,8</w:t>
            </w:r>
          </w:p>
        </w:tc>
        <w:tc>
          <w:tcPr>
            <w:tcW w:w="1266" w:type="dxa"/>
            <w:vAlign w:val="center"/>
          </w:tcPr>
          <w:p w14:paraId="3F05F593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62AACF48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DDEF6EA" w14:textId="3201DD4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1126" w:type="dxa"/>
            <w:vAlign w:val="center"/>
          </w:tcPr>
          <w:p w14:paraId="7DB34F36" w14:textId="759EA93C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700" w:type="dxa"/>
            <w:vAlign w:val="center"/>
          </w:tcPr>
          <w:p w14:paraId="62F2D382" w14:textId="4A7D1881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966" w:type="dxa"/>
            <w:vAlign w:val="center"/>
          </w:tcPr>
          <w:p w14:paraId="344834A3" w14:textId="7ED553F1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1417" w:type="dxa"/>
            <w:vAlign w:val="center"/>
          </w:tcPr>
          <w:p w14:paraId="18A91D09" w14:textId="61DA8003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8183,8</w:t>
            </w:r>
          </w:p>
        </w:tc>
      </w:tr>
      <w:tr w:rsidR="0044234A" w:rsidRPr="00754DEC" w14:paraId="128FCB84" w14:textId="77777777" w:rsidTr="0044234A">
        <w:tc>
          <w:tcPr>
            <w:tcW w:w="5175" w:type="dxa"/>
          </w:tcPr>
          <w:p w14:paraId="6350031D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0F944927" w14:textId="4ADFFA22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6881,8</w:t>
            </w:r>
          </w:p>
        </w:tc>
        <w:tc>
          <w:tcPr>
            <w:tcW w:w="1266" w:type="dxa"/>
            <w:vAlign w:val="center"/>
          </w:tcPr>
          <w:p w14:paraId="46C719EF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5F3ACB93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6DA0B9DD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A074FF7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700" w:type="dxa"/>
            <w:vAlign w:val="center"/>
          </w:tcPr>
          <w:p w14:paraId="15939A2A" w14:textId="7777777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966" w:type="dxa"/>
          </w:tcPr>
          <w:p w14:paraId="24FF635E" w14:textId="5E5C3C27" w:rsidR="0044234A" w:rsidRPr="006F3B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417" w:type="dxa"/>
            <w:vAlign w:val="center"/>
          </w:tcPr>
          <w:p w14:paraId="5A8DF228" w14:textId="11860828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8183,8</w:t>
            </w:r>
          </w:p>
        </w:tc>
      </w:tr>
      <w:tr w:rsidR="0044234A" w:rsidRPr="00F35ECE" w14:paraId="09999CF4" w14:textId="77777777" w:rsidTr="0044234A">
        <w:tc>
          <w:tcPr>
            <w:tcW w:w="5175" w:type="dxa"/>
          </w:tcPr>
          <w:p w14:paraId="317F3868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F35ECE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F35ECE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F35ECE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78A3C31F" w14:textId="524B4DAC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13455,9</w:t>
            </w:r>
          </w:p>
        </w:tc>
        <w:tc>
          <w:tcPr>
            <w:tcW w:w="1266" w:type="dxa"/>
            <w:vAlign w:val="center"/>
          </w:tcPr>
          <w:p w14:paraId="3D817832" w14:textId="174E7924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2AECDA6D" w14:textId="1E18D412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5B844D48" w14:textId="5E0AA7C0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7D959A25" w14:textId="7330F846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700" w:type="dxa"/>
            <w:vAlign w:val="center"/>
          </w:tcPr>
          <w:p w14:paraId="6F477938" w14:textId="105E92AC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966" w:type="dxa"/>
            <w:vAlign w:val="center"/>
          </w:tcPr>
          <w:p w14:paraId="64CCFAB9" w14:textId="22A4344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417" w:type="dxa"/>
            <w:vAlign w:val="center"/>
          </w:tcPr>
          <w:p w14:paraId="24025C3F" w14:textId="662E6779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76616,1</w:t>
            </w:r>
          </w:p>
        </w:tc>
      </w:tr>
      <w:tr w:rsidR="0044234A" w:rsidRPr="00754DEC" w14:paraId="3D8E7678" w14:textId="77777777" w:rsidTr="0044234A">
        <w:tc>
          <w:tcPr>
            <w:tcW w:w="5175" w:type="dxa"/>
          </w:tcPr>
          <w:p w14:paraId="6526FBBA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23940C87" w14:textId="60D3C60E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2483,1</w:t>
            </w:r>
          </w:p>
        </w:tc>
        <w:tc>
          <w:tcPr>
            <w:tcW w:w="1266" w:type="dxa"/>
            <w:vAlign w:val="center"/>
          </w:tcPr>
          <w:p w14:paraId="01B1577C" w14:textId="6497FCBA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0B75EB9E" w14:textId="5222F1DE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5DCCF63" w14:textId="6BF5A8FA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30CE245" w14:textId="6F91C1FB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  <w:vAlign w:val="center"/>
          </w:tcPr>
          <w:p w14:paraId="60514F66" w14:textId="317E3360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2CC193C" w14:textId="5185AB5D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2A5FF032" w14:textId="67786BA1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13651,5</w:t>
            </w:r>
          </w:p>
        </w:tc>
      </w:tr>
      <w:tr w:rsidR="0044234A" w:rsidRPr="00754DEC" w14:paraId="285F2DBC" w14:textId="77777777" w:rsidTr="0044234A">
        <w:tc>
          <w:tcPr>
            <w:tcW w:w="5175" w:type="dxa"/>
          </w:tcPr>
          <w:p w14:paraId="1D63BE4D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местный бюджет </w:t>
            </w:r>
          </w:p>
        </w:tc>
        <w:tc>
          <w:tcPr>
            <w:tcW w:w="1268" w:type="dxa"/>
            <w:vAlign w:val="center"/>
          </w:tcPr>
          <w:p w14:paraId="1688483F" w14:textId="5448B942" w:rsidR="0044234A" w:rsidRPr="006F2C0B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10972,8</w:t>
            </w:r>
          </w:p>
        </w:tc>
        <w:tc>
          <w:tcPr>
            <w:tcW w:w="1266" w:type="dxa"/>
            <w:vAlign w:val="center"/>
          </w:tcPr>
          <w:p w14:paraId="05485C2D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4404E22B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0A6571D4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70CC7C33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700" w:type="dxa"/>
            <w:vAlign w:val="center"/>
          </w:tcPr>
          <w:p w14:paraId="6FC5947B" w14:textId="77777777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966" w:type="dxa"/>
          </w:tcPr>
          <w:p w14:paraId="33ADE930" w14:textId="1398B0E0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417" w:type="dxa"/>
            <w:vAlign w:val="center"/>
          </w:tcPr>
          <w:p w14:paraId="09DE1884" w14:textId="6FE70966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62964,6</w:t>
            </w:r>
          </w:p>
        </w:tc>
      </w:tr>
      <w:tr w:rsidR="0044234A" w:rsidRPr="00754DEC" w14:paraId="0C1D0D42" w14:textId="77777777" w:rsidTr="0044234A">
        <w:tc>
          <w:tcPr>
            <w:tcW w:w="5175" w:type="dxa"/>
          </w:tcPr>
          <w:p w14:paraId="666A5E76" w14:textId="77777777" w:rsidR="0044234A" w:rsidRPr="00277A01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4. Комплекс процессных мероприятий «Обеспечение деятельности МКУ Ханты-Мансийского района «Управление гражданской защиты» (всего), в том числе:</w:t>
            </w:r>
          </w:p>
        </w:tc>
        <w:tc>
          <w:tcPr>
            <w:tcW w:w="1268" w:type="dxa"/>
            <w:vAlign w:val="center"/>
          </w:tcPr>
          <w:p w14:paraId="19B6B48E" w14:textId="71238479" w:rsidR="0044234A" w:rsidRPr="006F2C0B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40371,6</w:t>
            </w:r>
          </w:p>
        </w:tc>
        <w:tc>
          <w:tcPr>
            <w:tcW w:w="1266" w:type="dxa"/>
            <w:vAlign w:val="center"/>
          </w:tcPr>
          <w:p w14:paraId="11395D57" w14:textId="730FC5AF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0BE9D75" w14:textId="06A4B1F0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0BAB7CF4" w14:textId="0F6B64B2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CE56240" w14:textId="517D9279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16F70147" w14:textId="6A423643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AD7625D" w14:textId="0928863B" w:rsidR="0044234A" w:rsidRPr="00F35ECE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1CF8B3F9" w14:textId="49AC096A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44234A">
              <w:rPr>
                <w:color w:val="000000"/>
                <w:sz w:val="20"/>
              </w:rPr>
              <w:t>293592,6</w:t>
            </w:r>
          </w:p>
        </w:tc>
      </w:tr>
      <w:tr w:rsidR="0044234A" w:rsidRPr="00754DEC" w14:paraId="59539905" w14:textId="77777777" w:rsidTr="0044234A">
        <w:tc>
          <w:tcPr>
            <w:tcW w:w="5175" w:type="dxa"/>
          </w:tcPr>
          <w:p w14:paraId="5192607C" w14:textId="77777777" w:rsidR="0044234A" w:rsidRPr="006F2C0B" w:rsidRDefault="0044234A" w:rsidP="0044234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2C0B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78C6822" w14:textId="515ED8BE" w:rsidR="0044234A" w:rsidRPr="006F2C0B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40371,6</w:t>
            </w:r>
          </w:p>
        </w:tc>
        <w:tc>
          <w:tcPr>
            <w:tcW w:w="1266" w:type="dxa"/>
            <w:vAlign w:val="center"/>
          </w:tcPr>
          <w:p w14:paraId="6083E08D" w14:textId="16A69258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3E4A7955" w14:textId="7D708D12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A1D923D" w14:textId="0DE2FCA3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B7FF843" w14:textId="7A73EACA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276414D5" w14:textId="31322174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EC7A9DB" w14:textId="6B3A3D66" w:rsidR="0044234A" w:rsidRPr="00754DEC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457FF7D6" w14:textId="49E2A83D" w:rsidR="0044234A" w:rsidRPr="0044234A" w:rsidRDefault="0044234A" w:rsidP="0044234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44234A">
              <w:rPr>
                <w:color w:val="000000"/>
                <w:sz w:val="20"/>
              </w:rPr>
              <w:t>293592,6</w:t>
            </w:r>
          </w:p>
        </w:tc>
      </w:tr>
    </w:tbl>
    <w:p w14:paraId="6FB59382" w14:textId="478FD7F5" w:rsidR="000E7407" w:rsidRPr="002F5C1B" w:rsidRDefault="002F5C1B" w:rsidP="002F5C1B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eastAsia="Times New Roman" w:cs="Times New Roman"/>
          <w:color w:val="000000" w:themeColor="text1"/>
          <w:szCs w:val="28"/>
        </w:rPr>
      </w:pPr>
      <w:r w:rsidRPr="002F5C1B">
        <w:rPr>
          <w:rFonts w:eastAsia="Times New Roman" w:cs="Times New Roman"/>
          <w:color w:val="000000" w:themeColor="text1"/>
          <w:szCs w:val="28"/>
        </w:rPr>
        <w:t>».</w:t>
      </w:r>
    </w:p>
    <w:p w14:paraId="623FE5D4" w14:textId="77777777" w:rsidR="000E7407" w:rsidRPr="0052039B" w:rsidRDefault="000E7407" w:rsidP="000E7407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860D733" w14:textId="77777777" w:rsidR="000E7407" w:rsidRDefault="000E7407" w:rsidP="000E7407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462C898E" w14:textId="77777777" w:rsidR="000E7407" w:rsidRPr="004B2AB0" w:rsidRDefault="000E7407" w:rsidP="000E7407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35A5F81C" w14:textId="6CE8388C" w:rsidR="000E7407" w:rsidRPr="004B2AB0" w:rsidRDefault="000E7407" w:rsidP="000E7407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4B2AB0">
        <w:rPr>
          <w:rFonts w:cs="Times New Roman"/>
          <w:color w:val="000000" w:themeColor="text1"/>
          <w:szCs w:val="28"/>
        </w:rPr>
        <w:t xml:space="preserve">Глава Ханты-Мансийского района                                   </w:t>
      </w:r>
      <w:r w:rsidR="00FC155D">
        <w:rPr>
          <w:rFonts w:cs="Times New Roman"/>
          <w:color w:val="000000" w:themeColor="text1"/>
          <w:szCs w:val="28"/>
        </w:rPr>
        <w:t xml:space="preserve">                                                                    </w:t>
      </w:r>
      <w:r w:rsidRPr="004B2AB0">
        <w:rPr>
          <w:rFonts w:cs="Times New Roman"/>
          <w:color w:val="000000" w:themeColor="text1"/>
          <w:szCs w:val="28"/>
        </w:rPr>
        <w:t xml:space="preserve">            К.Р.Минулин</w:t>
      </w:r>
    </w:p>
    <w:p w14:paraId="347AB35E" w14:textId="77777777" w:rsidR="000E7407" w:rsidRPr="00754DEC" w:rsidRDefault="000E7407" w:rsidP="00754DE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 w:val="20"/>
          <w:szCs w:val="28"/>
        </w:rPr>
      </w:pPr>
    </w:p>
    <w:sectPr w:rsidR="000E7407" w:rsidRPr="00754DEC" w:rsidSect="006B498E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194B" w14:textId="77777777" w:rsidR="009D720D" w:rsidRDefault="009D720D" w:rsidP="003D6CD6">
      <w:pPr>
        <w:spacing w:after="0" w:line="240" w:lineRule="auto"/>
      </w:pPr>
      <w:r>
        <w:separator/>
      </w:r>
    </w:p>
  </w:endnote>
  <w:endnote w:type="continuationSeparator" w:id="0">
    <w:p w14:paraId="32FFE4AD" w14:textId="77777777" w:rsidR="009D720D" w:rsidRDefault="009D720D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CFF5" w14:textId="77777777" w:rsidR="009D720D" w:rsidRDefault="009D720D" w:rsidP="003D6CD6">
      <w:pPr>
        <w:spacing w:after="0" w:line="240" w:lineRule="auto"/>
      </w:pPr>
      <w:r>
        <w:separator/>
      </w:r>
    </w:p>
  </w:footnote>
  <w:footnote w:type="continuationSeparator" w:id="0">
    <w:p w14:paraId="14602949" w14:textId="77777777" w:rsidR="009D720D" w:rsidRDefault="009D720D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59978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F9350D1" w14:textId="77777777" w:rsidR="001878AE" w:rsidRPr="001878AE" w:rsidRDefault="001878AE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123092">
          <w:rPr>
            <w:noProof/>
            <w:sz w:val="24"/>
          </w:rPr>
          <w:t>14</w:t>
        </w:r>
        <w:r w:rsidRPr="001878AE">
          <w:rPr>
            <w:sz w:val="24"/>
          </w:rPr>
          <w:fldChar w:fldCharType="end"/>
        </w:r>
      </w:p>
    </w:sdtContent>
  </w:sdt>
  <w:p w14:paraId="41903E76" w14:textId="77777777" w:rsidR="001878AE" w:rsidRDefault="001878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036379"/>
      <w:docPartObj>
        <w:docPartGallery w:val="Page Numbers (Top of Page)"/>
        <w:docPartUnique/>
      </w:docPartObj>
    </w:sdtPr>
    <w:sdtContent>
      <w:p w14:paraId="395611D4" w14:textId="77777777" w:rsidR="001878AE" w:rsidRDefault="001878AE" w:rsidP="001878AE">
        <w:pPr>
          <w:pStyle w:val="a3"/>
          <w:jc w:val="center"/>
        </w:pPr>
      </w:p>
      <w:p w14:paraId="35F6CDBB" w14:textId="77777777" w:rsidR="001878AE" w:rsidRDefault="001878AE" w:rsidP="001878AE">
        <w:pPr>
          <w:pStyle w:val="a3"/>
          <w:jc w:val="center"/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123092">
          <w:rPr>
            <w:noProof/>
            <w:sz w:val="24"/>
          </w:rPr>
          <w:t>1</w:t>
        </w:r>
        <w:r w:rsidRPr="001878A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014A1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5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7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7717429">
    <w:abstractNumId w:val="0"/>
  </w:num>
  <w:num w:numId="2" w16cid:durableId="547574704">
    <w:abstractNumId w:val="1"/>
  </w:num>
  <w:num w:numId="3" w16cid:durableId="1257245679">
    <w:abstractNumId w:val="5"/>
  </w:num>
  <w:num w:numId="4" w16cid:durableId="1209487971">
    <w:abstractNumId w:val="8"/>
  </w:num>
  <w:num w:numId="5" w16cid:durableId="185170034">
    <w:abstractNumId w:val="9"/>
  </w:num>
  <w:num w:numId="6" w16cid:durableId="181625359">
    <w:abstractNumId w:val="7"/>
  </w:num>
  <w:num w:numId="7" w16cid:durableId="1828130771">
    <w:abstractNumId w:val="6"/>
  </w:num>
  <w:num w:numId="8" w16cid:durableId="419252775">
    <w:abstractNumId w:val="3"/>
  </w:num>
  <w:num w:numId="9" w16cid:durableId="1030449231">
    <w:abstractNumId w:val="4"/>
  </w:num>
  <w:num w:numId="10" w16cid:durableId="57171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173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C1"/>
    <w:rsid w:val="00013855"/>
    <w:rsid w:val="00015DF3"/>
    <w:rsid w:val="00016FA1"/>
    <w:rsid w:val="0002206D"/>
    <w:rsid w:val="0002368A"/>
    <w:rsid w:val="00023D6D"/>
    <w:rsid w:val="00023E79"/>
    <w:rsid w:val="00043C02"/>
    <w:rsid w:val="00047F7C"/>
    <w:rsid w:val="00051257"/>
    <w:rsid w:val="00056E8C"/>
    <w:rsid w:val="0006412F"/>
    <w:rsid w:val="00071ADD"/>
    <w:rsid w:val="00071BDE"/>
    <w:rsid w:val="000804DE"/>
    <w:rsid w:val="000953DA"/>
    <w:rsid w:val="000956BD"/>
    <w:rsid w:val="00096F8B"/>
    <w:rsid w:val="000A1C94"/>
    <w:rsid w:val="000B33C7"/>
    <w:rsid w:val="000C733A"/>
    <w:rsid w:val="000D35C0"/>
    <w:rsid w:val="000E079E"/>
    <w:rsid w:val="000E3600"/>
    <w:rsid w:val="000E7407"/>
    <w:rsid w:val="000E7AE8"/>
    <w:rsid w:val="00113074"/>
    <w:rsid w:val="00114E51"/>
    <w:rsid w:val="00123092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13CC"/>
    <w:rsid w:val="002369FC"/>
    <w:rsid w:val="00240FB8"/>
    <w:rsid w:val="002419C7"/>
    <w:rsid w:val="00242A24"/>
    <w:rsid w:val="00244E6B"/>
    <w:rsid w:val="002569D7"/>
    <w:rsid w:val="00267D8B"/>
    <w:rsid w:val="0027017F"/>
    <w:rsid w:val="00277A01"/>
    <w:rsid w:val="00281770"/>
    <w:rsid w:val="00287526"/>
    <w:rsid w:val="002A0215"/>
    <w:rsid w:val="002A59CF"/>
    <w:rsid w:val="002B6E84"/>
    <w:rsid w:val="002E4A12"/>
    <w:rsid w:val="002F2F46"/>
    <w:rsid w:val="002F5C1B"/>
    <w:rsid w:val="003046BA"/>
    <w:rsid w:val="00306166"/>
    <w:rsid w:val="00306F4B"/>
    <w:rsid w:val="00312A09"/>
    <w:rsid w:val="003132E4"/>
    <w:rsid w:val="00321A67"/>
    <w:rsid w:val="0032447C"/>
    <w:rsid w:val="00324CA0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84026"/>
    <w:rsid w:val="00387746"/>
    <w:rsid w:val="00391D1F"/>
    <w:rsid w:val="003B3364"/>
    <w:rsid w:val="003B57E5"/>
    <w:rsid w:val="003B694D"/>
    <w:rsid w:val="003B7329"/>
    <w:rsid w:val="003C41F9"/>
    <w:rsid w:val="003D0E27"/>
    <w:rsid w:val="003D2E79"/>
    <w:rsid w:val="003D4F5F"/>
    <w:rsid w:val="003D50E6"/>
    <w:rsid w:val="003D6CD6"/>
    <w:rsid w:val="003D75F6"/>
    <w:rsid w:val="003E27E4"/>
    <w:rsid w:val="003E32B5"/>
    <w:rsid w:val="003F1D05"/>
    <w:rsid w:val="00401704"/>
    <w:rsid w:val="00403ED9"/>
    <w:rsid w:val="00420649"/>
    <w:rsid w:val="00430608"/>
    <w:rsid w:val="004413FE"/>
    <w:rsid w:val="0044234A"/>
    <w:rsid w:val="00442BFA"/>
    <w:rsid w:val="00446788"/>
    <w:rsid w:val="00447B4F"/>
    <w:rsid w:val="004562F0"/>
    <w:rsid w:val="0046011B"/>
    <w:rsid w:val="0046324D"/>
    <w:rsid w:val="004648EA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035E0"/>
    <w:rsid w:val="0051038C"/>
    <w:rsid w:val="00523D8B"/>
    <w:rsid w:val="0052554A"/>
    <w:rsid w:val="00542C96"/>
    <w:rsid w:val="005458E7"/>
    <w:rsid w:val="00546F63"/>
    <w:rsid w:val="00547E02"/>
    <w:rsid w:val="005606A8"/>
    <w:rsid w:val="0056306A"/>
    <w:rsid w:val="005633A9"/>
    <w:rsid w:val="0056419E"/>
    <w:rsid w:val="00573D57"/>
    <w:rsid w:val="005836EE"/>
    <w:rsid w:val="00584B19"/>
    <w:rsid w:val="00586DDD"/>
    <w:rsid w:val="005908DE"/>
    <w:rsid w:val="0059111C"/>
    <w:rsid w:val="00594DCD"/>
    <w:rsid w:val="005A1FA1"/>
    <w:rsid w:val="005A6335"/>
    <w:rsid w:val="005A7A9C"/>
    <w:rsid w:val="005B4FED"/>
    <w:rsid w:val="005C6F1A"/>
    <w:rsid w:val="005C7315"/>
    <w:rsid w:val="005D142E"/>
    <w:rsid w:val="005D7015"/>
    <w:rsid w:val="005E5196"/>
    <w:rsid w:val="005E7BEA"/>
    <w:rsid w:val="005F00AC"/>
    <w:rsid w:val="005F2F12"/>
    <w:rsid w:val="00601AD9"/>
    <w:rsid w:val="006137A2"/>
    <w:rsid w:val="006237CE"/>
    <w:rsid w:val="0064061D"/>
    <w:rsid w:val="00641740"/>
    <w:rsid w:val="0064509F"/>
    <w:rsid w:val="00645758"/>
    <w:rsid w:val="006515AB"/>
    <w:rsid w:val="00654965"/>
    <w:rsid w:val="00674462"/>
    <w:rsid w:val="00674CEF"/>
    <w:rsid w:val="00681BD1"/>
    <w:rsid w:val="00683402"/>
    <w:rsid w:val="00685566"/>
    <w:rsid w:val="00687955"/>
    <w:rsid w:val="006A2951"/>
    <w:rsid w:val="006A61F1"/>
    <w:rsid w:val="006B498E"/>
    <w:rsid w:val="006C1E66"/>
    <w:rsid w:val="006D680D"/>
    <w:rsid w:val="006E2AC1"/>
    <w:rsid w:val="006F1BAE"/>
    <w:rsid w:val="006F2C0B"/>
    <w:rsid w:val="006F3BCE"/>
    <w:rsid w:val="006F7436"/>
    <w:rsid w:val="00713EC1"/>
    <w:rsid w:val="007208CE"/>
    <w:rsid w:val="007312FA"/>
    <w:rsid w:val="007369F4"/>
    <w:rsid w:val="007525FE"/>
    <w:rsid w:val="00754DEC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B5D7D"/>
    <w:rsid w:val="007C7F03"/>
    <w:rsid w:val="007E2072"/>
    <w:rsid w:val="007E615D"/>
    <w:rsid w:val="007F3583"/>
    <w:rsid w:val="007F632D"/>
    <w:rsid w:val="007F7BB7"/>
    <w:rsid w:val="008013CA"/>
    <w:rsid w:val="0080783C"/>
    <w:rsid w:val="00810F1B"/>
    <w:rsid w:val="00811B00"/>
    <w:rsid w:val="00812CB2"/>
    <w:rsid w:val="008201F5"/>
    <w:rsid w:val="0082368A"/>
    <w:rsid w:val="00825BB0"/>
    <w:rsid w:val="008360CF"/>
    <w:rsid w:val="00840AC2"/>
    <w:rsid w:val="00845AE1"/>
    <w:rsid w:val="008536A2"/>
    <w:rsid w:val="00854705"/>
    <w:rsid w:val="00854B0A"/>
    <w:rsid w:val="00870DD2"/>
    <w:rsid w:val="00880F10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D59E3"/>
    <w:rsid w:val="008E6C72"/>
    <w:rsid w:val="008F661F"/>
    <w:rsid w:val="009202A2"/>
    <w:rsid w:val="009215D6"/>
    <w:rsid w:val="00924199"/>
    <w:rsid w:val="00926680"/>
    <w:rsid w:val="00932AC7"/>
    <w:rsid w:val="00944674"/>
    <w:rsid w:val="0094476F"/>
    <w:rsid w:val="00946320"/>
    <w:rsid w:val="00965C4E"/>
    <w:rsid w:val="009704E0"/>
    <w:rsid w:val="00970B1D"/>
    <w:rsid w:val="00986E77"/>
    <w:rsid w:val="009C0730"/>
    <w:rsid w:val="009C1342"/>
    <w:rsid w:val="009C1EC0"/>
    <w:rsid w:val="009C6860"/>
    <w:rsid w:val="009D720D"/>
    <w:rsid w:val="009E0E8C"/>
    <w:rsid w:val="009F0DC8"/>
    <w:rsid w:val="00A0197C"/>
    <w:rsid w:val="00A02587"/>
    <w:rsid w:val="00A03D86"/>
    <w:rsid w:val="00A07704"/>
    <w:rsid w:val="00A12896"/>
    <w:rsid w:val="00A1747F"/>
    <w:rsid w:val="00A26268"/>
    <w:rsid w:val="00A36582"/>
    <w:rsid w:val="00A43D9D"/>
    <w:rsid w:val="00A45FD4"/>
    <w:rsid w:val="00A4704A"/>
    <w:rsid w:val="00A65334"/>
    <w:rsid w:val="00A81DD7"/>
    <w:rsid w:val="00A913F6"/>
    <w:rsid w:val="00A96565"/>
    <w:rsid w:val="00AC4E9F"/>
    <w:rsid w:val="00AE5728"/>
    <w:rsid w:val="00AE74B1"/>
    <w:rsid w:val="00AE77F9"/>
    <w:rsid w:val="00AF082F"/>
    <w:rsid w:val="00B12D31"/>
    <w:rsid w:val="00B216E5"/>
    <w:rsid w:val="00B30320"/>
    <w:rsid w:val="00B46E1C"/>
    <w:rsid w:val="00B50DA6"/>
    <w:rsid w:val="00B51A3C"/>
    <w:rsid w:val="00B610AE"/>
    <w:rsid w:val="00B63667"/>
    <w:rsid w:val="00B65442"/>
    <w:rsid w:val="00B7767F"/>
    <w:rsid w:val="00B916EA"/>
    <w:rsid w:val="00B928D7"/>
    <w:rsid w:val="00B964A1"/>
    <w:rsid w:val="00BA01D2"/>
    <w:rsid w:val="00BB0ECA"/>
    <w:rsid w:val="00BB3D28"/>
    <w:rsid w:val="00BB6E84"/>
    <w:rsid w:val="00BC080B"/>
    <w:rsid w:val="00BD4172"/>
    <w:rsid w:val="00BE1882"/>
    <w:rsid w:val="00BE565A"/>
    <w:rsid w:val="00BE7909"/>
    <w:rsid w:val="00C01197"/>
    <w:rsid w:val="00C127A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E40ED"/>
    <w:rsid w:val="00CF00CF"/>
    <w:rsid w:val="00CF1ADA"/>
    <w:rsid w:val="00D11642"/>
    <w:rsid w:val="00D14697"/>
    <w:rsid w:val="00D233DE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1F99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5C14"/>
    <w:rsid w:val="00E06749"/>
    <w:rsid w:val="00E16408"/>
    <w:rsid w:val="00E173C4"/>
    <w:rsid w:val="00E3264B"/>
    <w:rsid w:val="00E3351A"/>
    <w:rsid w:val="00E33E7D"/>
    <w:rsid w:val="00E34C70"/>
    <w:rsid w:val="00E422FE"/>
    <w:rsid w:val="00E44E20"/>
    <w:rsid w:val="00E4536A"/>
    <w:rsid w:val="00E5330D"/>
    <w:rsid w:val="00E5373E"/>
    <w:rsid w:val="00E5766F"/>
    <w:rsid w:val="00E64A1D"/>
    <w:rsid w:val="00E70892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F14"/>
    <w:rsid w:val="00ED6847"/>
    <w:rsid w:val="00EE1BA3"/>
    <w:rsid w:val="00F02FE8"/>
    <w:rsid w:val="00F06332"/>
    <w:rsid w:val="00F25BA0"/>
    <w:rsid w:val="00F276C0"/>
    <w:rsid w:val="00F35ECE"/>
    <w:rsid w:val="00F40151"/>
    <w:rsid w:val="00F44C9A"/>
    <w:rsid w:val="00F4506E"/>
    <w:rsid w:val="00F57433"/>
    <w:rsid w:val="00F62F36"/>
    <w:rsid w:val="00F652B0"/>
    <w:rsid w:val="00F71326"/>
    <w:rsid w:val="00F7212A"/>
    <w:rsid w:val="00F75173"/>
    <w:rsid w:val="00F8173F"/>
    <w:rsid w:val="00F857CA"/>
    <w:rsid w:val="00F8602A"/>
    <w:rsid w:val="00F87068"/>
    <w:rsid w:val="00F8723F"/>
    <w:rsid w:val="00FA0B18"/>
    <w:rsid w:val="00FA5A7D"/>
    <w:rsid w:val="00FA640D"/>
    <w:rsid w:val="00FB7130"/>
    <w:rsid w:val="00FB7804"/>
    <w:rsid w:val="00FC072F"/>
    <w:rsid w:val="00FC0DF1"/>
    <w:rsid w:val="00FC155D"/>
    <w:rsid w:val="00FC328C"/>
    <w:rsid w:val="00FC3E31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E1B8"/>
  <w15:docId w15:val="{232742B1-5B58-49AD-BE66-C699641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3">
    <w:name w:val="Сетка таблицы1"/>
    <w:basedOn w:val="a1"/>
    <w:uiPriority w:val="59"/>
    <w:rsid w:val="000E74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E74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E74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E7407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74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740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01E9-F5D8-4AE7-A489-ECCF5FE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User2</cp:lastModifiedBy>
  <cp:revision>2</cp:revision>
  <cp:lastPrinted>2026-02-20T09:54:00Z</cp:lastPrinted>
  <dcterms:created xsi:type="dcterms:W3CDTF">2026-03-19T12:30:00Z</dcterms:created>
  <dcterms:modified xsi:type="dcterms:W3CDTF">2026-03-19T12:30:00Z</dcterms:modified>
</cp:coreProperties>
</file>